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CD" w:rsidRPr="00FF3062" w:rsidRDefault="00B459CD" w:rsidP="00B459CD">
      <w:pPr>
        <w:ind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B459CD" w:rsidRPr="00B459CD" w:rsidRDefault="00B459CD" w:rsidP="00B459CD">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Pr>
          <w:rFonts w:cs="Times New Roman"/>
          <w:b/>
          <w:color w:val="000000" w:themeColor="text1"/>
          <w:sz w:val="36"/>
          <w:szCs w:val="36"/>
        </w:rPr>
        <w:t xml:space="preserve">Payments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6922"/>
      </w:tblGrid>
      <w:tr w:rsidR="00B459CD" w:rsidRPr="00B459CD" w:rsidTr="00B459CD">
        <w:trPr>
          <w:trHeight w:val="300"/>
        </w:trPr>
        <w:tc>
          <w:tcPr>
            <w:tcW w:w="10490" w:type="dxa"/>
            <w:gridSpan w:val="2"/>
            <w:noWrap/>
          </w:tcPr>
          <w:p w:rsidR="00B459CD" w:rsidRPr="00B459CD" w:rsidRDefault="00B459CD" w:rsidP="00B459CD">
            <w:pPr>
              <w:spacing w:after="0" w:line="240" w:lineRule="auto"/>
              <w:jc w:val="both"/>
              <w:rPr>
                <w:color w:val="000000"/>
                <w:sz w:val="24"/>
                <w:szCs w:val="24"/>
                <w:lang w:eastAsia="en-GB"/>
              </w:rPr>
            </w:pPr>
            <w:r w:rsidRPr="00B459CD">
              <w:rPr>
                <w:color w:val="000000"/>
                <w:sz w:val="24"/>
                <w:szCs w:val="24"/>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p>
          <w:p w:rsidR="00B459CD" w:rsidRPr="00B459CD" w:rsidRDefault="00B459CD" w:rsidP="00B459CD">
            <w:pPr>
              <w:spacing w:after="0" w:line="240" w:lineRule="auto"/>
              <w:jc w:val="both"/>
              <w:rPr>
                <w:color w:val="000000"/>
                <w:sz w:val="24"/>
                <w:szCs w:val="24"/>
                <w:lang w:eastAsia="en-GB"/>
              </w:rPr>
            </w:pPr>
            <w:r w:rsidRPr="00B459CD">
              <w:rPr>
                <w:color w:val="000000"/>
                <w:sz w:val="24"/>
                <w:szCs w:val="24"/>
                <w:lang w:eastAsia="en-GB"/>
              </w:rPr>
              <w:t>In order to make patient-based payments basic and relevant necessary data about you, needs to be sent to the various payment services. The release of this data is required by law.</w:t>
            </w:r>
          </w:p>
          <w:p w:rsidR="00B459CD" w:rsidRPr="00B459CD" w:rsidRDefault="00B459CD" w:rsidP="00B459CD">
            <w:pPr>
              <w:spacing w:after="0" w:line="240" w:lineRule="auto"/>
              <w:jc w:val="both"/>
              <w:rPr>
                <w:color w:val="000000"/>
                <w:sz w:val="24"/>
                <w:szCs w:val="24"/>
                <w:lang w:eastAsia="en-GB"/>
              </w:rPr>
            </w:pPr>
          </w:p>
        </w:tc>
      </w:tr>
      <w:tr w:rsidR="00B459CD" w:rsidRPr="00B459CD" w:rsidTr="00B459CD">
        <w:trPr>
          <w:trHeight w:val="300"/>
        </w:trPr>
        <w:tc>
          <w:tcPr>
            <w:tcW w:w="3568" w:type="dxa"/>
            <w:noWrap/>
          </w:tcPr>
          <w:p w:rsidR="00B459CD" w:rsidRPr="00B459CD" w:rsidRDefault="00B459CD" w:rsidP="00A86FF4">
            <w:pPr>
              <w:spacing w:after="0" w:line="240" w:lineRule="auto"/>
              <w:rPr>
                <w:b/>
                <w:color w:val="000000"/>
                <w:sz w:val="24"/>
                <w:szCs w:val="24"/>
                <w:lang w:eastAsia="en-GB"/>
              </w:rPr>
            </w:pPr>
            <w:r w:rsidRPr="00B459CD">
              <w:rPr>
                <w:color w:val="000000"/>
                <w:sz w:val="24"/>
                <w:szCs w:val="24"/>
                <w:lang w:eastAsia="en-GB"/>
              </w:rPr>
              <w:t>1</w:t>
            </w:r>
            <w:r w:rsidRPr="00B459CD">
              <w:rPr>
                <w:b/>
                <w:color w:val="000000"/>
                <w:sz w:val="24"/>
                <w:szCs w:val="24"/>
                <w:lang w:eastAsia="en-GB"/>
              </w:rPr>
              <w:t xml:space="preserve">) Data Controller </w:t>
            </w:r>
            <w:r w:rsidRPr="00B459CD">
              <w:rPr>
                <w:color w:val="000000"/>
                <w:sz w:val="24"/>
                <w:szCs w:val="24"/>
                <w:lang w:eastAsia="en-GB"/>
              </w:rPr>
              <w:t>contact details</w:t>
            </w:r>
          </w:p>
          <w:p w:rsidR="00B459CD" w:rsidRPr="00B459CD" w:rsidRDefault="00B459CD" w:rsidP="00A86FF4">
            <w:pPr>
              <w:spacing w:after="0" w:line="240" w:lineRule="auto"/>
              <w:rPr>
                <w:color w:val="000000"/>
                <w:sz w:val="24"/>
                <w:szCs w:val="24"/>
                <w:lang w:eastAsia="en-GB"/>
              </w:rPr>
            </w:pPr>
          </w:p>
          <w:p w:rsidR="00B459CD" w:rsidRPr="00B459CD" w:rsidRDefault="00B459CD" w:rsidP="00A86FF4">
            <w:pPr>
              <w:spacing w:after="0" w:line="240" w:lineRule="auto"/>
              <w:rPr>
                <w:color w:val="000000"/>
                <w:sz w:val="24"/>
                <w:szCs w:val="24"/>
                <w:lang w:eastAsia="en-GB"/>
              </w:rPr>
            </w:pPr>
          </w:p>
        </w:tc>
        <w:tc>
          <w:tcPr>
            <w:tcW w:w="6922" w:type="dxa"/>
            <w:noWrap/>
          </w:tcPr>
          <w:p w:rsidR="00B459CD" w:rsidRPr="00B459CD" w:rsidRDefault="00B459CD" w:rsidP="00B459CD">
            <w:pPr>
              <w:tabs>
                <w:tab w:val="left" w:pos="684"/>
              </w:tabs>
              <w:spacing w:after="0" w:line="240" w:lineRule="auto"/>
              <w:ind w:right="-897"/>
              <w:rPr>
                <w:sz w:val="24"/>
                <w:szCs w:val="24"/>
                <w:lang w:eastAsia="en-GB"/>
              </w:rPr>
            </w:pPr>
            <w:r w:rsidRPr="00B459CD">
              <w:rPr>
                <w:sz w:val="24"/>
                <w:szCs w:val="24"/>
                <w:lang w:eastAsia="en-GB"/>
              </w:rPr>
              <w:t>Mrs Roberta Walsh, Practice Manager, Mount Oriel Medical Practice, Knockbreda Centre,  110 Saintfield Road, Belfast BT8 6GR Tel: 028 9070 1653</w:t>
            </w:r>
          </w:p>
          <w:p w:rsidR="00B459CD" w:rsidRPr="00B459CD" w:rsidRDefault="00B459CD" w:rsidP="00A86FF4">
            <w:pPr>
              <w:spacing w:after="0" w:line="240" w:lineRule="auto"/>
              <w:rPr>
                <w:color w:val="000000"/>
                <w:sz w:val="24"/>
                <w:szCs w:val="24"/>
                <w:lang w:eastAsia="en-GB"/>
              </w:rPr>
            </w:pPr>
          </w:p>
        </w:tc>
      </w:tr>
      <w:tr w:rsidR="00B459CD" w:rsidRPr="00B459CD" w:rsidTr="00B459CD">
        <w:trPr>
          <w:trHeight w:val="300"/>
        </w:trPr>
        <w:tc>
          <w:tcPr>
            <w:tcW w:w="3568" w:type="dxa"/>
            <w:noWrap/>
          </w:tcPr>
          <w:p w:rsidR="00B459CD" w:rsidRPr="00B459CD" w:rsidRDefault="00B459CD" w:rsidP="00A86FF4">
            <w:pPr>
              <w:spacing w:after="0" w:line="240" w:lineRule="auto"/>
              <w:rPr>
                <w:color w:val="000000"/>
                <w:sz w:val="24"/>
                <w:szCs w:val="24"/>
                <w:lang w:eastAsia="en-GB"/>
              </w:rPr>
            </w:pPr>
            <w:r w:rsidRPr="00B459CD">
              <w:rPr>
                <w:b/>
                <w:color w:val="000000"/>
                <w:sz w:val="24"/>
                <w:szCs w:val="24"/>
                <w:lang w:eastAsia="en-GB"/>
              </w:rPr>
              <w:t xml:space="preserve">2) Data Protection Officer </w:t>
            </w:r>
            <w:r w:rsidRPr="00B459CD">
              <w:rPr>
                <w:color w:val="000000"/>
                <w:sz w:val="24"/>
                <w:szCs w:val="24"/>
                <w:lang w:eastAsia="en-GB"/>
              </w:rPr>
              <w:t>contact details</w:t>
            </w:r>
          </w:p>
          <w:p w:rsidR="00B459CD" w:rsidRPr="00B459CD" w:rsidRDefault="00B459CD" w:rsidP="00A86FF4">
            <w:pPr>
              <w:spacing w:after="0" w:line="240" w:lineRule="auto"/>
              <w:rPr>
                <w:color w:val="000000"/>
                <w:sz w:val="24"/>
                <w:szCs w:val="24"/>
                <w:lang w:eastAsia="en-GB"/>
              </w:rPr>
            </w:pPr>
          </w:p>
        </w:tc>
        <w:tc>
          <w:tcPr>
            <w:tcW w:w="6922" w:type="dxa"/>
            <w:noWrap/>
          </w:tcPr>
          <w:p w:rsidR="00B459CD" w:rsidRPr="00B459CD" w:rsidRDefault="00B459CD" w:rsidP="00B459CD">
            <w:pPr>
              <w:tabs>
                <w:tab w:val="left" w:pos="684"/>
              </w:tabs>
              <w:spacing w:after="0" w:line="240" w:lineRule="auto"/>
              <w:ind w:right="-897"/>
              <w:rPr>
                <w:sz w:val="24"/>
                <w:szCs w:val="24"/>
                <w:lang w:eastAsia="en-GB"/>
              </w:rPr>
            </w:pPr>
            <w:r w:rsidRPr="00B459CD">
              <w:rPr>
                <w:sz w:val="24"/>
                <w:szCs w:val="24"/>
                <w:lang w:eastAsia="en-GB"/>
              </w:rPr>
              <w:t>Dr Sean Devine</w:t>
            </w:r>
            <w:r w:rsidRPr="00B459CD">
              <w:rPr>
                <w:sz w:val="24"/>
                <w:szCs w:val="24"/>
                <w:lang w:eastAsia="en-GB"/>
              </w:rPr>
              <w:t>, Mount Oriel Medical Practice, Knockbreda Centre,  110 Saintfield Road, Belfast BT8 6GR Tel: 028 9070 1653</w:t>
            </w:r>
          </w:p>
          <w:p w:rsidR="00B459CD" w:rsidRPr="00B459CD" w:rsidRDefault="00B459CD" w:rsidP="00A86FF4">
            <w:pPr>
              <w:spacing w:after="0" w:line="240" w:lineRule="auto"/>
              <w:rPr>
                <w:color w:val="339966"/>
                <w:sz w:val="24"/>
                <w:szCs w:val="24"/>
                <w:lang w:eastAsia="en-GB"/>
              </w:rPr>
            </w:pPr>
          </w:p>
        </w:tc>
      </w:tr>
      <w:tr w:rsidR="00B459CD" w:rsidRPr="00B459CD" w:rsidTr="00B459CD">
        <w:trPr>
          <w:trHeight w:val="657"/>
        </w:trPr>
        <w:tc>
          <w:tcPr>
            <w:tcW w:w="3568"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 xml:space="preserve">3) </w:t>
            </w:r>
            <w:r w:rsidRPr="00B459CD">
              <w:rPr>
                <w:b/>
                <w:color w:val="000000"/>
                <w:sz w:val="24"/>
                <w:szCs w:val="24"/>
                <w:lang w:eastAsia="en-GB"/>
              </w:rPr>
              <w:t>Purpose</w:t>
            </w:r>
            <w:r w:rsidRPr="00B459CD">
              <w:rPr>
                <w:color w:val="000000"/>
                <w:sz w:val="24"/>
                <w:szCs w:val="24"/>
                <w:lang w:eastAsia="en-GB"/>
              </w:rPr>
              <w:t xml:space="preserve"> of the  processing</w:t>
            </w:r>
          </w:p>
        </w:tc>
        <w:tc>
          <w:tcPr>
            <w:tcW w:w="6922"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To enable GPs to receive payments. To provide accountability.</w:t>
            </w:r>
          </w:p>
        </w:tc>
      </w:tr>
      <w:tr w:rsidR="00B459CD" w:rsidRPr="00B459CD" w:rsidTr="00B459CD">
        <w:trPr>
          <w:trHeight w:val="300"/>
        </w:trPr>
        <w:tc>
          <w:tcPr>
            <w:tcW w:w="3568"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 xml:space="preserve">4) </w:t>
            </w:r>
            <w:r w:rsidRPr="00B459CD">
              <w:rPr>
                <w:b/>
                <w:color w:val="000000"/>
                <w:sz w:val="24"/>
                <w:szCs w:val="24"/>
                <w:lang w:eastAsia="en-GB"/>
              </w:rPr>
              <w:t>Lawful basis</w:t>
            </w:r>
            <w:r w:rsidRPr="00B459CD">
              <w:rPr>
                <w:color w:val="000000"/>
                <w:sz w:val="24"/>
                <w:szCs w:val="24"/>
                <w:lang w:eastAsia="en-GB"/>
              </w:rPr>
              <w:t xml:space="preserve"> for  processing</w:t>
            </w:r>
          </w:p>
        </w:tc>
        <w:tc>
          <w:tcPr>
            <w:tcW w:w="6922" w:type="dxa"/>
            <w:noWrap/>
          </w:tcPr>
          <w:p w:rsidR="00B459CD" w:rsidRPr="00B459CD" w:rsidRDefault="00B459CD" w:rsidP="00B459CD">
            <w:pPr>
              <w:jc w:val="both"/>
              <w:rPr>
                <w:color w:val="000000"/>
                <w:sz w:val="24"/>
                <w:szCs w:val="24"/>
                <w:lang w:eastAsia="en-GB"/>
              </w:rPr>
            </w:pPr>
            <w:r w:rsidRPr="00B459CD">
              <w:rPr>
                <w:sz w:val="24"/>
                <w:szCs w:val="24"/>
              </w:rPr>
              <w:t xml:space="preserve">The processing of personal data in the delivery of direct care and for providers’ administrative purposes in this surgery and in support of direct care elsewhere </w:t>
            </w:r>
            <w:r w:rsidRPr="00B459CD">
              <w:rPr>
                <w:color w:val="000000"/>
                <w:sz w:val="24"/>
                <w:szCs w:val="24"/>
                <w:lang w:eastAsia="en-GB"/>
              </w:rPr>
              <w:t xml:space="preserve"> is supported under the following Article 6 and 9 conditions of the GDPR:</w:t>
            </w:r>
          </w:p>
          <w:p w:rsidR="00B459CD" w:rsidRPr="00B459CD" w:rsidRDefault="00B459CD" w:rsidP="00B459CD">
            <w:pPr>
              <w:ind w:left="720"/>
              <w:jc w:val="both"/>
              <w:rPr>
                <w:sz w:val="24"/>
                <w:szCs w:val="24"/>
              </w:rPr>
            </w:pPr>
            <w:r w:rsidRPr="00B459CD">
              <w:rPr>
                <w:i/>
                <w:color w:val="000000"/>
                <w:sz w:val="24"/>
                <w:szCs w:val="24"/>
                <w:lang w:eastAsia="en-GB"/>
              </w:rPr>
              <w:t>Article 6(1</w:t>
            </w:r>
            <w:proofErr w:type="gramStart"/>
            <w:r w:rsidRPr="00B459CD">
              <w:rPr>
                <w:i/>
                <w:color w:val="000000"/>
                <w:sz w:val="24"/>
                <w:szCs w:val="24"/>
                <w:lang w:eastAsia="en-GB"/>
              </w:rPr>
              <w:t>)(</w:t>
            </w:r>
            <w:proofErr w:type="gramEnd"/>
            <w:r w:rsidRPr="00B459CD">
              <w:rPr>
                <w:i/>
                <w:color w:val="000000"/>
                <w:sz w:val="24"/>
                <w:szCs w:val="24"/>
                <w:lang w:eastAsia="en-GB"/>
              </w:rPr>
              <w:t>c) “</w:t>
            </w:r>
            <w:r w:rsidRPr="00B459CD">
              <w:rPr>
                <w:i/>
                <w:sz w:val="24"/>
                <w:szCs w:val="24"/>
              </w:rPr>
              <w:t>processing is necessary for compliance with a legal obligation to which the controller is subject.”</w:t>
            </w:r>
            <w:r w:rsidRPr="00B459CD">
              <w:rPr>
                <w:sz w:val="24"/>
                <w:szCs w:val="24"/>
              </w:rPr>
              <w:t xml:space="preserve"> </w:t>
            </w:r>
          </w:p>
          <w:p w:rsidR="00B459CD" w:rsidRPr="00B459CD" w:rsidRDefault="00B459CD" w:rsidP="00B459CD">
            <w:pPr>
              <w:spacing w:after="0" w:line="240" w:lineRule="auto"/>
              <w:ind w:left="720"/>
              <w:jc w:val="both"/>
              <w:rPr>
                <w:color w:val="000000"/>
                <w:sz w:val="24"/>
                <w:szCs w:val="24"/>
                <w:lang w:eastAsia="en-GB"/>
              </w:rPr>
            </w:pPr>
            <w:r w:rsidRPr="00B459CD">
              <w:rPr>
                <w:color w:val="000000"/>
                <w:sz w:val="24"/>
                <w:szCs w:val="24"/>
                <w:lang w:eastAsia="en-GB"/>
              </w:rPr>
              <w:t>And</w:t>
            </w:r>
          </w:p>
          <w:p w:rsidR="00B459CD" w:rsidRPr="00B459CD" w:rsidRDefault="00B459CD" w:rsidP="00B459CD">
            <w:pPr>
              <w:spacing w:after="0" w:line="240" w:lineRule="auto"/>
              <w:ind w:left="720"/>
              <w:jc w:val="both"/>
              <w:rPr>
                <w:i/>
                <w:color w:val="000000"/>
                <w:sz w:val="24"/>
                <w:szCs w:val="24"/>
                <w:lang w:eastAsia="en-GB"/>
              </w:rPr>
            </w:pPr>
          </w:p>
          <w:p w:rsidR="00B459CD" w:rsidRPr="00B459CD" w:rsidRDefault="00B459CD" w:rsidP="00B459CD">
            <w:pPr>
              <w:spacing w:after="0" w:line="240" w:lineRule="auto"/>
              <w:ind w:left="720"/>
              <w:jc w:val="both"/>
              <w:rPr>
                <w:i/>
                <w:color w:val="000000"/>
                <w:sz w:val="24"/>
                <w:szCs w:val="24"/>
              </w:rPr>
            </w:pPr>
            <w:r w:rsidRPr="00B459CD">
              <w:rPr>
                <w:i/>
                <w:color w:val="000000"/>
                <w:sz w:val="24"/>
                <w:szCs w:val="24"/>
                <w:lang w:eastAsia="en-GB"/>
              </w:rPr>
              <w:t>Article 9(2)(h)</w:t>
            </w:r>
            <w:r w:rsidRPr="00B459CD">
              <w:rPr>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B459CD">
              <w:rPr>
                <w:b/>
                <w:i/>
                <w:color w:val="000000"/>
                <w:sz w:val="24"/>
                <w:szCs w:val="24"/>
              </w:rPr>
              <w:t>the management of health or social care systems and services</w:t>
            </w:r>
            <w:r w:rsidRPr="00B459CD">
              <w:rPr>
                <w:i/>
                <w:color w:val="000000"/>
                <w:sz w:val="24"/>
                <w:szCs w:val="24"/>
              </w:rPr>
              <w:t xml:space="preserve">...”  </w:t>
            </w:r>
          </w:p>
          <w:p w:rsidR="00B459CD" w:rsidRPr="00B459CD" w:rsidRDefault="00B459CD" w:rsidP="00B459CD">
            <w:pPr>
              <w:spacing w:after="0" w:line="240" w:lineRule="auto"/>
              <w:jc w:val="both"/>
              <w:rPr>
                <w:color w:val="000000"/>
                <w:sz w:val="24"/>
                <w:szCs w:val="24"/>
              </w:rPr>
            </w:pPr>
          </w:p>
          <w:p w:rsidR="00B459CD" w:rsidRPr="00B459CD" w:rsidRDefault="00B459CD" w:rsidP="00A86FF4">
            <w:pPr>
              <w:spacing w:after="0" w:line="240" w:lineRule="auto"/>
              <w:rPr>
                <w:color w:val="000000"/>
                <w:sz w:val="24"/>
                <w:szCs w:val="24"/>
                <w:lang w:eastAsia="en-GB"/>
              </w:rPr>
            </w:pPr>
          </w:p>
        </w:tc>
      </w:tr>
      <w:tr w:rsidR="00B459CD" w:rsidRPr="00B459CD" w:rsidTr="00B459CD">
        <w:trPr>
          <w:trHeight w:val="300"/>
        </w:trPr>
        <w:tc>
          <w:tcPr>
            <w:tcW w:w="3568"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 xml:space="preserve">5) </w:t>
            </w:r>
            <w:r w:rsidRPr="00B459CD">
              <w:rPr>
                <w:b/>
                <w:color w:val="000000"/>
                <w:sz w:val="24"/>
                <w:szCs w:val="24"/>
                <w:lang w:eastAsia="en-GB"/>
              </w:rPr>
              <w:t xml:space="preserve">Recipient or categories of recipients </w:t>
            </w:r>
            <w:r w:rsidRPr="00B459CD">
              <w:rPr>
                <w:color w:val="000000"/>
                <w:sz w:val="24"/>
                <w:szCs w:val="24"/>
                <w:lang w:eastAsia="en-GB"/>
              </w:rPr>
              <w:t>of the processed data</w:t>
            </w:r>
          </w:p>
        </w:tc>
        <w:tc>
          <w:tcPr>
            <w:tcW w:w="6922" w:type="dxa"/>
            <w:noWrap/>
          </w:tcPr>
          <w:p w:rsidR="00B459CD" w:rsidRPr="00B459CD" w:rsidRDefault="00B459CD" w:rsidP="00B459CD">
            <w:pPr>
              <w:spacing w:after="0" w:line="240" w:lineRule="auto"/>
              <w:jc w:val="both"/>
              <w:rPr>
                <w:color w:val="000000"/>
                <w:sz w:val="24"/>
                <w:szCs w:val="24"/>
                <w:lang w:eastAsia="en-GB"/>
              </w:rPr>
            </w:pPr>
            <w:r w:rsidRPr="00B459CD">
              <w:rPr>
                <w:color w:val="000000"/>
                <w:sz w:val="24"/>
                <w:szCs w:val="24"/>
                <w:lang w:eastAsia="en-GB"/>
              </w:rPr>
              <w:t xml:space="preserve">The data will be shared with the </w:t>
            </w:r>
            <w:proofErr w:type="spellStart"/>
            <w:r w:rsidRPr="00B459CD">
              <w:rPr>
                <w:color w:val="000000"/>
                <w:sz w:val="24"/>
                <w:szCs w:val="24"/>
                <w:lang w:eastAsia="en-GB"/>
              </w:rPr>
              <w:t>BSO</w:t>
            </w:r>
            <w:proofErr w:type="gramStart"/>
            <w:r w:rsidRPr="00B459CD">
              <w:rPr>
                <w:color w:val="000000"/>
                <w:sz w:val="24"/>
                <w:szCs w:val="24"/>
                <w:lang w:eastAsia="en-GB"/>
              </w:rPr>
              <w:t>,Health</w:t>
            </w:r>
            <w:proofErr w:type="spellEnd"/>
            <w:proofErr w:type="gramEnd"/>
            <w:r w:rsidRPr="00B459CD">
              <w:rPr>
                <w:color w:val="000000"/>
                <w:sz w:val="24"/>
                <w:szCs w:val="24"/>
                <w:lang w:eastAsia="en-GB"/>
              </w:rPr>
              <w:t xml:space="preserve"> and care professionals and support staff in this surgery who contribute to your personal </w:t>
            </w:r>
            <w:r w:rsidRPr="00B459CD">
              <w:rPr>
                <w:color w:val="000000"/>
                <w:sz w:val="24"/>
                <w:szCs w:val="24"/>
                <w:lang w:eastAsia="en-GB"/>
              </w:rPr>
              <w:lastRenderedPageBreak/>
              <w:t xml:space="preserve">care. </w:t>
            </w:r>
          </w:p>
          <w:p w:rsidR="00B459CD" w:rsidRPr="00B459CD" w:rsidRDefault="00B459CD" w:rsidP="00A86FF4">
            <w:pPr>
              <w:spacing w:after="0" w:line="240" w:lineRule="auto"/>
              <w:rPr>
                <w:color w:val="000000"/>
                <w:sz w:val="24"/>
                <w:szCs w:val="24"/>
                <w:lang w:eastAsia="en-GB"/>
              </w:rPr>
            </w:pPr>
          </w:p>
        </w:tc>
      </w:tr>
      <w:tr w:rsidR="00B459CD" w:rsidRPr="00B459CD" w:rsidTr="00B459CD">
        <w:trPr>
          <w:trHeight w:val="300"/>
        </w:trPr>
        <w:tc>
          <w:tcPr>
            <w:tcW w:w="3568"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lastRenderedPageBreak/>
              <w:t xml:space="preserve">6) </w:t>
            </w:r>
            <w:r w:rsidRPr="00B459CD">
              <w:rPr>
                <w:b/>
                <w:color w:val="000000"/>
                <w:sz w:val="24"/>
                <w:szCs w:val="24"/>
                <w:lang w:eastAsia="en-GB"/>
              </w:rPr>
              <w:t>Rights to object</w:t>
            </w:r>
            <w:r w:rsidRPr="00B459CD">
              <w:rPr>
                <w:color w:val="000000"/>
                <w:sz w:val="24"/>
                <w:szCs w:val="24"/>
                <w:lang w:eastAsia="en-GB"/>
              </w:rPr>
              <w:t xml:space="preserve"> </w:t>
            </w:r>
          </w:p>
        </w:tc>
        <w:tc>
          <w:tcPr>
            <w:tcW w:w="6922" w:type="dxa"/>
            <w:noWrap/>
          </w:tcPr>
          <w:p w:rsidR="00B459CD" w:rsidRDefault="00B459CD" w:rsidP="00B459CD">
            <w:pPr>
              <w:spacing w:after="0" w:line="240" w:lineRule="auto"/>
              <w:jc w:val="both"/>
              <w:rPr>
                <w:color w:val="000000"/>
                <w:sz w:val="24"/>
                <w:szCs w:val="24"/>
                <w:lang w:eastAsia="en-GB"/>
              </w:rPr>
            </w:pPr>
            <w:r w:rsidRPr="00B459CD">
              <w:rPr>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w:t>
            </w:r>
            <w:r w:rsidRPr="00B459CD">
              <w:rPr>
                <w:color w:val="000000"/>
                <w:sz w:val="24"/>
                <w:szCs w:val="24"/>
                <w:lang w:eastAsia="en-GB"/>
              </w:rPr>
              <w:t>objection that</w:t>
            </w:r>
            <w:r w:rsidRPr="00B459CD">
              <w:rPr>
                <w:color w:val="000000"/>
                <w:sz w:val="24"/>
                <w:szCs w:val="24"/>
                <w:lang w:eastAsia="en-GB"/>
              </w:rPr>
              <w:t xml:space="preserve"> is not the same as having an absolute right to have your wishes granted in every </w:t>
            </w:r>
            <w:r w:rsidRPr="00B459CD">
              <w:rPr>
                <w:color w:val="000000"/>
                <w:sz w:val="24"/>
                <w:szCs w:val="24"/>
                <w:lang w:eastAsia="en-GB"/>
              </w:rPr>
              <w:t>circumstance.</w:t>
            </w:r>
          </w:p>
          <w:p w:rsidR="00B459CD" w:rsidRPr="00B459CD" w:rsidRDefault="00B459CD" w:rsidP="00B459CD">
            <w:pPr>
              <w:spacing w:after="0" w:line="240" w:lineRule="auto"/>
              <w:jc w:val="both"/>
              <w:rPr>
                <w:color w:val="000000"/>
                <w:sz w:val="24"/>
                <w:szCs w:val="24"/>
                <w:lang w:eastAsia="en-GB"/>
              </w:rPr>
            </w:pPr>
          </w:p>
        </w:tc>
      </w:tr>
      <w:tr w:rsidR="00B459CD" w:rsidRPr="00B459CD" w:rsidTr="00B459CD">
        <w:trPr>
          <w:trHeight w:val="300"/>
        </w:trPr>
        <w:tc>
          <w:tcPr>
            <w:tcW w:w="3568"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 xml:space="preserve">7) </w:t>
            </w:r>
            <w:r w:rsidRPr="00B459CD">
              <w:rPr>
                <w:b/>
                <w:color w:val="000000"/>
                <w:sz w:val="24"/>
                <w:szCs w:val="24"/>
                <w:lang w:eastAsia="en-GB"/>
              </w:rPr>
              <w:t>Right to access and correct</w:t>
            </w:r>
          </w:p>
        </w:tc>
        <w:tc>
          <w:tcPr>
            <w:tcW w:w="6922" w:type="dxa"/>
            <w:noWrap/>
          </w:tcPr>
          <w:p w:rsidR="00B459CD" w:rsidRDefault="00B459CD" w:rsidP="00A86FF4">
            <w:pPr>
              <w:spacing w:after="0" w:line="240" w:lineRule="auto"/>
              <w:rPr>
                <w:color w:val="000000"/>
                <w:sz w:val="24"/>
                <w:szCs w:val="24"/>
                <w:lang w:eastAsia="en-GB"/>
              </w:rPr>
            </w:pPr>
            <w:r w:rsidRPr="00B459CD">
              <w:rPr>
                <w:color w:val="000000"/>
                <w:sz w:val="24"/>
                <w:szCs w:val="24"/>
                <w:lang w:eastAsia="en-GB"/>
              </w:rPr>
              <w:t>You have the right to access the data that is being shared and have any inaccuracies corrected. There is no right to have accurate medical records deleted except when ordered by a court of Law.</w:t>
            </w:r>
          </w:p>
          <w:p w:rsidR="00B459CD" w:rsidRPr="00B459CD" w:rsidRDefault="00B459CD" w:rsidP="00A86FF4">
            <w:pPr>
              <w:spacing w:after="0" w:line="240" w:lineRule="auto"/>
              <w:rPr>
                <w:color w:val="000000"/>
                <w:sz w:val="24"/>
                <w:szCs w:val="24"/>
                <w:lang w:eastAsia="en-GB"/>
              </w:rPr>
            </w:pPr>
          </w:p>
        </w:tc>
      </w:tr>
      <w:tr w:rsidR="00B459CD" w:rsidRPr="00B459CD" w:rsidTr="00B459CD">
        <w:trPr>
          <w:trHeight w:val="300"/>
        </w:trPr>
        <w:tc>
          <w:tcPr>
            <w:tcW w:w="3568"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8</w:t>
            </w:r>
            <w:r w:rsidRPr="00B459CD">
              <w:rPr>
                <w:b/>
                <w:color w:val="000000"/>
                <w:sz w:val="24"/>
                <w:szCs w:val="24"/>
                <w:lang w:eastAsia="en-GB"/>
              </w:rPr>
              <w:t>) Retention period</w:t>
            </w:r>
            <w:r w:rsidRPr="00B459CD">
              <w:rPr>
                <w:color w:val="000000"/>
                <w:sz w:val="24"/>
                <w:szCs w:val="24"/>
                <w:lang w:eastAsia="en-GB"/>
              </w:rPr>
              <w:t xml:space="preserve"> </w:t>
            </w:r>
          </w:p>
        </w:tc>
        <w:tc>
          <w:tcPr>
            <w:tcW w:w="6922" w:type="dxa"/>
            <w:noWrap/>
          </w:tcPr>
          <w:p w:rsidR="00B459CD" w:rsidRPr="00B459CD" w:rsidRDefault="00B459CD" w:rsidP="00B459CD">
            <w:pPr>
              <w:spacing w:after="0" w:line="240" w:lineRule="auto"/>
              <w:rPr>
                <w:rFonts w:cs="Calibri"/>
                <w:sz w:val="24"/>
                <w:szCs w:val="24"/>
                <w:lang w:eastAsia="en-GB"/>
              </w:rPr>
            </w:pPr>
            <w:bookmarkStart w:id="0" w:name="_GoBack"/>
            <w:r w:rsidRPr="00B459CD">
              <w:rPr>
                <w:color w:val="000000"/>
                <w:sz w:val="24"/>
                <w:szCs w:val="24"/>
                <w:lang w:eastAsia="en-GB"/>
              </w:rPr>
              <w:t xml:space="preserve">The data will be retained in line with the law and national guidance in England </w:t>
            </w:r>
            <w:hyperlink r:id="rId5" w:history="1">
              <w:r w:rsidRPr="00B459CD">
                <w:rPr>
                  <w:rStyle w:val="Hyperlink"/>
                  <w:rFonts w:asciiTheme="minorHAnsi" w:hAnsiTheme="minorHAnsi" w:cs="Calibri"/>
                  <w:sz w:val="24"/>
                  <w:szCs w:val="24"/>
                  <w:lang w:eastAsia="en-GB"/>
                </w:rPr>
                <w:t>https://digital.nhs.uk/article/1202/Records-Management-Code-of-Practice-for-Health-and-Social-Care-2016</w:t>
              </w:r>
            </w:hyperlink>
            <w:r w:rsidRPr="00B459CD">
              <w:rPr>
                <w:rFonts w:cs="Calibri"/>
                <w:sz w:val="24"/>
                <w:szCs w:val="24"/>
                <w:lang w:eastAsia="en-GB"/>
              </w:rPr>
              <w:t xml:space="preserve"> </w:t>
            </w:r>
          </w:p>
          <w:p w:rsidR="00B459CD" w:rsidRPr="00B459CD" w:rsidRDefault="00B459CD" w:rsidP="00B459CD">
            <w:pPr>
              <w:spacing w:after="0" w:line="240" w:lineRule="auto"/>
              <w:rPr>
                <w:sz w:val="24"/>
                <w:szCs w:val="24"/>
              </w:rPr>
            </w:pPr>
            <w:r w:rsidRPr="00B459CD">
              <w:rPr>
                <w:rFonts w:cs="Calibri"/>
                <w:sz w:val="24"/>
                <w:szCs w:val="24"/>
                <w:lang w:eastAsia="en-GB"/>
              </w:rPr>
              <w:t xml:space="preserve"> Equivalent legislation in Northern Ireland. </w:t>
            </w:r>
          </w:p>
          <w:bookmarkEnd w:id="0"/>
          <w:p w:rsidR="00B459CD" w:rsidRPr="00B459CD" w:rsidRDefault="00B459CD" w:rsidP="00A86FF4">
            <w:pPr>
              <w:spacing w:after="0" w:line="240" w:lineRule="auto"/>
              <w:rPr>
                <w:color w:val="000000"/>
                <w:sz w:val="24"/>
                <w:szCs w:val="24"/>
                <w:lang w:eastAsia="en-GB"/>
              </w:rPr>
            </w:pPr>
          </w:p>
        </w:tc>
      </w:tr>
      <w:tr w:rsidR="00B459CD" w:rsidRPr="00B459CD" w:rsidTr="00B459CD">
        <w:trPr>
          <w:trHeight w:val="300"/>
        </w:trPr>
        <w:tc>
          <w:tcPr>
            <w:tcW w:w="3568"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 xml:space="preserve">9)  </w:t>
            </w:r>
            <w:r w:rsidRPr="00B459CD">
              <w:rPr>
                <w:b/>
                <w:color w:val="000000"/>
                <w:sz w:val="24"/>
                <w:szCs w:val="24"/>
                <w:lang w:eastAsia="en-GB"/>
              </w:rPr>
              <w:t>Right to Complain</w:t>
            </w:r>
            <w:r w:rsidRPr="00B459CD">
              <w:rPr>
                <w:color w:val="000000"/>
                <w:sz w:val="24"/>
                <w:szCs w:val="24"/>
                <w:lang w:eastAsia="en-GB"/>
              </w:rPr>
              <w:t xml:space="preserve">. </w:t>
            </w:r>
          </w:p>
        </w:tc>
        <w:tc>
          <w:tcPr>
            <w:tcW w:w="6922" w:type="dxa"/>
            <w:noWrap/>
          </w:tcPr>
          <w:p w:rsidR="00B459CD" w:rsidRPr="00B459CD" w:rsidRDefault="00B459CD" w:rsidP="00A86FF4">
            <w:pPr>
              <w:spacing w:after="0" w:line="240" w:lineRule="auto"/>
              <w:rPr>
                <w:color w:val="000000"/>
                <w:sz w:val="24"/>
                <w:szCs w:val="24"/>
                <w:lang w:eastAsia="en-GB"/>
              </w:rPr>
            </w:pPr>
            <w:r w:rsidRPr="00B459CD">
              <w:rPr>
                <w:color w:val="000000"/>
                <w:sz w:val="24"/>
                <w:szCs w:val="24"/>
                <w:lang w:eastAsia="en-GB"/>
              </w:rPr>
              <w:t>You have the right to complain to the Information Commissioner’s Office, you can use this link</w:t>
            </w:r>
            <w:r w:rsidRPr="00B459CD">
              <w:rPr>
                <w:sz w:val="24"/>
                <w:szCs w:val="24"/>
              </w:rPr>
              <w:t xml:space="preserve"> </w:t>
            </w:r>
            <w:hyperlink r:id="rId6" w:history="1">
              <w:r w:rsidRPr="00B459CD">
                <w:rPr>
                  <w:rStyle w:val="Hyperlink"/>
                  <w:rFonts w:asciiTheme="minorHAnsi" w:hAnsiTheme="minorHAnsi"/>
                  <w:sz w:val="24"/>
                  <w:szCs w:val="24"/>
                  <w:lang w:eastAsia="en-GB"/>
                </w:rPr>
                <w:t>https://ico.org.uk/global/contact-us/</w:t>
              </w:r>
            </w:hyperlink>
            <w:r w:rsidRPr="00B459CD">
              <w:rPr>
                <w:color w:val="000000"/>
                <w:sz w:val="24"/>
                <w:szCs w:val="24"/>
                <w:lang w:eastAsia="en-GB"/>
              </w:rPr>
              <w:t xml:space="preserve">  </w:t>
            </w:r>
          </w:p>
          <w:p w:rsidR="00B459CD" w:rsidRPr="00B459CD" w:rsidRDefault="00B459CD" w:rsidP="00A86FF4">
            <w:pPr>
              <w:spacing w:after="0" w:line="240" w:lineRule="auto"/>
              <w:rPr>
                <w:color w:val="000000"/>
                <w:sz w:val="24"/>
                <w:szCs w:val="24"/>
                <w:lang w:eastAsia="en-GB"/>
              </w:rPr>
            </w:pPr>
          </w:p>
          <w:p w:rsidR="00B459CD" w:rsidRPr="00B459CD" w:rsidRDefault="00B459CD" w:rsidP="00A86FF4">
            <w:pPr>
              <w:shd w:val="clear" w:color="auto" w:fill="FFFFFF"/>
              <w:spacing w:after="240" w:line="240" w:lineRule="auto"/>
              <w:rPr>
                <w:color w:val="000000"/>
                <w:sz w:val="24"/>
                <w:szCs w:val="24"/>
                <w:lang w:eastAsia="en-GB"/>
              </w:rPr>
            </w:pPr>
            <w:r w:rsidRPr="00B459CD">
              <w:rPr>
                <w:color w:val="000000"/>
                <w:sz w:val="24"/>
                <w:szCs w:val="24"/>
                <w:lang w:eastAsia="en-GB"/>
              </w:rPr>
              <w:t xml:space="preserve">or calling their helpline Tel: 0303 123 1113 (local rate) or 01625 545 745 (national rate) </w:t>
            </w:r>
          </w:p>
          <w:p w:rsidR="00B459CD" w:rsidRPr="00B459CD" w:rsidRDefault="00B459CD" w:rsidP="00A86FF4">
            <w:pPr>
              <w:shd w:val="clear" w:color="auto" w:fill="FFFFFF"/>
              <w:spacing w:after="240" w:line="240" w:lineRule="auto"/>
              <w:rPr>
                <w:color w:val="000000"/>
                <w:sz w:val="24"/>
                <w:szCs w:val="24"/>
                <w:lang w:eastAsia="en-GB"/>
              </w:rPr>
            </w:pPr>
            <w:r w:rsidRPr="00B459CD">
              <w:rPr>
                <w:color w:val="000000"/>
                <w:sz w:val="24"/>
                <w:szCs w:val="24"/>
                <w:shd w:val="clear" w:color="auto" w:fill="FFFFFF"/>
              </w:rPr>
              <w:t>The Information Commissioner’s Office – Northern Ireland</w:t>
            </w:r>
            <w:r w:rsidRPr="00B459CD">
              <w:rPr>
                <w:color w:val="000000"/>
                <w:sz w:val="24"/>
                <w:szCs w:val="24"/>
              </w:rPr>
              <w:br/>
            </w:r>
            <w:r w:rsidRPr="00B459CD">
              <w:rPr>
                <w:color w:val="000000"/>
                <w:sz w:val="24"/>
                <w:szCs w:val="24"/>
                <w:shd w:val="clear" w:color="auto" w:fill="FFFFFF"/>
              </w:rPr>
              <w:t>3rd Floor</w:t>
            </w:r>
            <w:r w:rsidRPr="00B459CD">
              <w:rPr>
                <w:color w:val="000000"/>
                <w:sz w:val="24"/>
                <w:szCs w:val="24"/>
              </w:rPr>
              <w:br/>
            </w:r>
            <w:r w:rsidRPr="00B459CD">
              <w:rPr>
                <w:color w:val="000000"/>
                <w:sz w:val="24"/>
                <w:szCs w:val="24"/>
                <w:shd w:val="clear" w:color="auto" w:fill="FFFFFF"/>
              </w:rPr>
              <w:t xml:space="preserve">14 </w:t>
            </w:r>
            <w:proofErr w:type="spellStart"/>
            <w:r w:rsidRPr="00B459CD">
              <w:rPr>
                <w:color w:val="000000"/>
                <w:sz w:val="24"/>
                <w:szCs w:val="24"/>
                <w:shd w:val="clear" w:color="auto" w:fill="FFFFFF"/>
              </w:rPr>
              <w:t>Cromac</w:t>
            </w:r>
            <w:proofErr w:type="spellEnd"/>
            <w:r w:rsidRPr="00B459CD">
              <w:rPr>
                <w:color w:val="000000"/>
                <w:sz w:val="24"/>
                <w:szCs w:val="24"/>
                <w:shd w:val="clear" w:color="auto" w:fill="FFFFFF"/>
              </w:rPr>
              <w:t xml:space="preserve"> Place, </w:t>
            </w:r>
            <w:r w:rsidRPr="00B459CD">
              <w:rPr>
                <w:color w:val="000000"/>
                <w:sz w:val="24"/>
                <w:szCs w:val="24"/>
              </w:rPr>
              <w:br/>
            </w:r>
            <w:r w:rsidRPr="00B459CD">
              <w:rPr>
                <w:color w:val="000000"/>
                <w:sz w:val="24"/>
                <w:szCs w:val="24"/>
                <w:shd w:val="clear" w:color="auto" w:fill="FFFFFF"/>
              </w:rPr>
              <w:t>Belfast</w:t>
            </w:r>
            <w:r w:rsidRPr="00B459CD">
              <w:rPr>
                <w:color w:val="000000"/>
                <w:sz w:val="24"/>
                <w:szCs w:val="24"/>
              </w:rPr>
              <w:br/>
            </w:r>
            <w:r w:rsidRPr="00B459CD">
              <w:rPr>
                <w:color w:val="000000"/>
                <w:sz w:val="24"/>
                <w:szCs w:val="24"/>
                <w:shd w:val="clear" w:color="auto" w:fill="FFFFFF"/>
              </w:rPr>
              <w:t>BT7 2JB</w:t>
            </w:r>
            <w:r w:rsidRPr="00B459CD">
              <w:rPr>
                <w:color w:val="000000"/>
                <w:sz w:val="24"/>
                <w:szCs w:val="24"/>
              </w:rPr>
              <w:br/>
            </w:r>
            <w:r w:rsidRPr="00B459CD">
              <w:rPr>
                <w:color w:val="000000"/>
                <w:sz w:val="24"/>
                <w:szCs w:val="24"/>
              </w:rPr>
              <w:br/>
            </w:r>
            <w:r w:rsidRPr="00B459CD">
              <w:rPr>
                <w:color w:val="000000"/>
                <w:sz w:val="24"/>
                <w:szCs w:val="24"/>
                <w:shd w:val="clear" w:color="auto" w:fill="FFFFFF"/>
              </w:rPr>
              <w:t>Telephone: 028 9027 8757 / 0303 123 1114</w:t>
            </w:r>
            <w:r w:rsidRPr="00B459CD">
              <w:rPr>
                <w:color w:val="000000"/>
                <w:sz w:val="24"/>
                <w:szCs w:val="24"/>
              </w:rPr>
              <w:br/>
            </w:r>
            <w:r w:rsidRPr="00B459CD">
              <w:rPr>
                <w:color w:val="000000"/>
                <w:sz w:val="24"/>
                <w:szCs w:val="24"/>
                <w:shd w:val="clear" w:color="auto" w:fill="FFFFFF"/>
              </w:rPr>
              <w:t>Email: </w:t>
            </w:r>
            <w:hyperlink r:id="rId7" w:history="1">
              <w:r w:rsidRPr="00B459CD">
                <w:rPr>
                  <w:rStyle w:val="Hyperlink"/>
                  <w:rFonts w:asciiTheme="minorHAnsi" w:hAnsiTheme="minorHAnsi"/>
                  <w:color w:val="0059A9"/>
                  <w:sz w:val="24"/>
                  <w:szCs w:val="24"/>
                  <w:shd w:val="clear" w:color="auto" w:fill="FFFFFF"/>
                </w:rPr>
                <w:t>ni@ico.org.uk</w:t>
              </w:r>
            </w:hyperlink>
          </w:p>
        </w:tc>
      </w:tr>
    </w:tbl>
    <w:p w:rsidR="0009727F" w:rsidRPr="00B459CD" w:rsidRDefault="0009727F">
      <w:pPr>
        <w:rPr>
          <w:sz w:val="24"/>
          <w:szCs w:val="24"/>
        </w:rPr>
      </w:pPr>
    </w:p>
    <w:sectPr w:rsidR="0009727F" w:rsidRPr="00B4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CD"/>
    <w:rsid w:val="0009727F"/>
    <w:rsid w:val="00B4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9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59CD"/>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9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59C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ico.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co.org.uk/global/contact-us/" TargetMode="External"/><Relationship Id="rId5" Type="http://schemas.openxmlformats.org/officeDocument/2006/relationships/hyperlink" Target="https://digital.nhs.uk/article/1202/Records-Management-Code-of-Practice-for-Health-and-Social-Care-2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2018-05-25T11:11:00Z</dcterms:created>
  <dcterms:modified xsi:type="dcterms:W3CDTF">2018-05-25T11:17:00Z</dcterms:modified>
</cp:coreProperties>
</file>